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2"/>
        </w:rPr>
      </w:pP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right"/>
        <w:textAlignment w:val="auto"/>
        <w:outlineLvl w:val="9"/>
        <w:rPr>
          <w:rFonts w:hint="eastAsia" w:ascii="仿宋" w:hAnsi="仿宋" w:eastAsia="仿宋" w:cs="仿宋"/>
          <w:sz w:val="32"/>
        </w:rPr>
      </w:pPr>
      <w:r>
        <w:rPr>
          <w:rFonts w:hint="eastAsia" w:ascii="仿宋" w:hAnsi="仿宋" w:eastAsia="仿宋" w:cs="仿宋"/>
          <w:sz w:val="32"/>
        </w:rPr>
        <w:t>冀教</w:t>
      </w:r>
      <w:r>
        <w:rPr>
          <w:rFonts w:hint="eastAsia" w:ascii="仿宋" w:hAnsi="仿宋" w:eastAsia="仿宋" w:cs="仿宋"/>
          <w:sz w:val="32"/>
          <w:lang w:eastAsia="zh-CN"/>
        </w:rPr>
        <w:t>电</w:t>
      </w:r>
      <w:r>
        <w:rPr>
          <w:rFonts w:hint="eastAsia" w:ascii="仿宋" w:hAnsi="仿宋" w:eastAsia="仿宋" w:cs="仿宋"/>
          <w:sz w:val="32"/>
        </w:rPr>
        <w:t>函</w:t>
      </w:r>
      <w:r>
        <w:rPr>
          <w:rFonts w:hint="eastAsia" w:ascii="仿宋" w:hAnsi="仿宋" w:eastAsia="仿宋" w:cs="仿宋"/>
          <w:sz w:val="32"/>
          <w:szCs w:val="32"/>
          <w:lang w:val="en-US" w:eastAsia="zh-CN"/>
        </w:rPr>
        <w:t>〔</w:t>
      </w:r>
      <w:r>
        <w:rPr>
          <w:rFonts w:hint="eastAsia" w:ascii="仿宋" w:hAnsi="仿宋" w:eastAsia="仿宋" w:cs="仿宋"/>
          <w:sz w:val="32"/>
        </w:rPr>
        <w:t>201</w:t>
      </w:r>
      <w:r>
        <w:rPr>
          <w:rFonts w:hint="eastAsia" w:ascii="仿宋" w:hAnsi="仿宋" w:eastAsia="仿宋" w:cs="仿宋"/>
          <w:sz w:val="32"/>
          <w:lang w:val="en-US" w:eastAsia="zh-CN"/>
        </w:rPr>
        <w:t>9</w:t>
      </w:r>
      <w:r>
        <w:rPr>
          <w:rFonts w:hint="eastAsia" w:ascii="仿宋" w:hAnsi="仿宋" w:eastAsia="仿宋" w:cs="仿宋"/>
          <w:sz w:val="32"/>
          <w:szCs w:val="32"/>
          <w:lang w:val="en-US" w:eastAsia="zh-CN"/>
        </w:rPr>
        <w:t>〕</w:t>
      </w:r>
      <w:r>
        <w:rPr>
          <w:rFonts w:hint="eastAsia" w:ascii="仿宋" w:hAnsi="仿宋" w:eastAsia="仿宋" w:cs="仿宋"/>
          <w:sz w:val="32"/>
          <w:lang w:val="en-US" w:eastAsia="zh-CN"/>
        </w:rPr>
        <w:t>2</w:t>
      </w:r>
      <w:r>
        <w:rPr>
          <w:rFonts w:hint="eastAsia" w:ascii="仿宋" w:hAnsi="仿宋" w:eastAsia="仿宋" w:cs="仿宋"/>
          <w:sz w:val="32"/>
        </w:rPr>
        <w:t>号</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 w:hAnsi="仿宋" w:eastAsia="仿宋" w:cs="仿宋"/>
          <w:sz w:val="32"/>
        </w:rPr>
      </w:pP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 w:hAnsi="仿宋" w:eastAsia="仿宋" w:cs="仿宋"/>
          <w:sz w:val="32"/>
        </w:rPr>
      </w:pP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center"/>
        <w:textAlignment w:val="auto"/>
        <w:outlineLvl w:val="9"/>
        <w:rPr>
          <w:rFonts w:hint="eastAsia" w:ascii="方正小标宋_GBK" w:hAnsi="宋体" w:eastAsia="方正小标宋_GBK"/>
          <w:sz w:val="44"/>
          <w:szCs w:val="44"/>
        </w:rPr>
      </w:pPr>
      <w:r>
        <w:rPr>
          <w:rFonts w:hint="eastAsia" w:ascii="方正小标宋_GBK" w:hAnsi="宋体" w:eastAsia="方正小标宋_GBK"/>
          <w:sz w:val="44"/>
          <w:szCs w:val="44"/>
        </w:rPr>
        <w:t>河北省教育厅</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center"/>
        <w:textAlignment w:val="auto"/>
        <w:outlineLvl w:val="9"/>
        <w:rPr>
          <w:rFonts w:hint="eastAsia" w:ascii="方正小标宋_GBK" w:eastAsia="方正小标宋_GBK"/>
          <w:sz w:val="44"/>
          <w:szCs w:val="44"/>
          <w:lang w:val="en-US" w:eastAsia="zh-CN"/>
        </w:rPr>
      </w:pPr>
      <w:r>
        <w:rPr>
          <w:rFonts w:hint="eastAsia" w:ascii="方正小标宋_GBK" w:eastAsia="方正小标宋_GBK"/>
          <w:sz w:val="44"/>
          <w:szCs w:val="44"/>
          <w:lang w:val="en-US" w:eastAsia="zh-CN"/>
        </w:rPr>
        <w:t>转发中央电化教育馆发布第二十三届</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center"/>
        <w:textAlignment w:val="auto"/>
        <w:outlineLvl w:val="9"/>
        <w:rPr>
          <w:rFonts w:hint="eastAsia" w:ascii="方正小标宋_GBK" w:eastAsia="方正小标宋_GBK"/>
          <w:sz w:val="44"/>
          <w:szCs w:val="44"/>
          <w:lang w:val="en-US" w:eastAsia="zh-CN"/>
        </w:rPr>
      </w:pPr>
      <w:r>
        <w:rPr>
          <w:rFonts w:hint="eastAsia" w:ascii="方正小标宋_GBK" w:eastAsia="方正小标宋_GBK"/>
          <w:sz w:val="44"/>
          <w:szCs w:val="44"/>
          <w:lang w:val="en-US" w:eastAsia="zh-CN"/>
        </w:rPr>
        <w:t>全国教育教学信息化交流活动和第十届“中国移动‘和教育’杯”全国教育技术论文</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center"/>
        <w:textAlignment w:val="auto"/>
        <w:outlineLvl w:val="9"/>
        <w:rPr>
          <w:rFonts w:hint="eastAsia" w:ascii="方正小标宋_GBK" w:eastAsia="方正小标宋_GBK"/>
          <w:sz w:val="44"/>
          <w:szCs w:val="44"/>
          <w:lang w:val="en-US" w:eastAsia="zh-CN"/>
        </w:rPr>
      </w:pPr>
      <w:r>
        <w:rPr>
          <w:rFonts w:hint="eastAsia" w:ascii="方正小标宋_GBK" w:eastAsia="方正小标宋_GBK"/>
          <w:sz w:val="44"/>
          <w:szCs w:val="44"/>
          <w:lang w:val="en-US" w:eastAsia="zh-CN"/>
        </w:rPr>
        <w:t>活动指南的通知</w:t>
      </w:r>
    </w:p>
    <w:p>
      <w:pPr>
        <w:keepNext w:val="0"/>
        <w:keepLines w:val="0"/>
        <w:pageBreakBefore w:val="0"/>
        <w:widowControl w:val="0"/>
        <w:kinsoku/>
        <w:wordWrap/>
        <w:overflowPunct/>
        <w:topLinePunct w:val="0"/>
        <w:autoSpaceDE/>
        <w:autoSpaceDN/>
        <w:bidi w:val="0"/>
        <w:adjustRightInd/>
        <w:snapToGrid/>
        <w:spacing w:line="570" w:lineRule="exact"/>
        <w:ind w:left="0" w:leftChars="0"/>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70" w:lineRule="exact"/>
        <w:ind w:left="0" w:leftChars="0"/>
        <w:textAlignment w:val="auto"/>
        <w:rPr>
          <w:rFonts w:hint="eastAsia" w:ascii="仿宋" w:hAnsi="仿宋" w:eastAsia="仿宋" w:cs="仿宋"/>
          <w:sz w:val="32"/>
          <w:szCs w:val="32"/>
        </w:rPr>
      </w:pPr>
      <w:r>
        <w:rPr>
          <w:rFonts w:hint="eastAsia" w:ascii="仿宋" w:hAnsi="仿宋" w:eastAsia="仿宋" w:cs="仿宋"/>
          <w:sz w:val="32"/>
          <w:szCs w:val="32"/>
        </w:rPr>
        <w:t xml:space="preserve">各市（含定州、辛集市）教育局，雄安新区公共服务局，省属高等学校： </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为贯彻落实《教育信息化2.0行动计划》和《教育信息化十三五规划》战略部署，提高教师信息技术应用能力，推动信息技术与教育教学深度融合，中央电化教育馆下发了《关于发布第二十三届全国教育教学信息化交流活动和第十届“中国移动‘和教育’杯”全国教育技术论文活动指南的通知》 （教电馆〔2019〕19号），现转发给你们，并就我省参赛事项通知如下：</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18"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一、关于第二十三届全省教育教学信息化大奖赛具体要求</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18" w:firstLineChars="200"/>
        <w:jc w:val="both"/>
        <w:textAlignment w:val="auto"/>
        <w:outlineLvl w:val="9"/>
        <w:rPr>
          <w:rFonts w:hint="eastAsia" w:ascii="楷体" w:hAnsi="楷体" w:eastAsia="楷体" w:cs="楷体"/>
          <w:sz w:val="32"/>
          <w:szCs w:val="32"/>
        </w:rPr>
      </w:pPr>
      <w:r>
        <w:rPr>
          <w:rFonts w:hint="eastAsia" w:ascii="楷体" w:hAnsi="楷体" w:eastAsia="楷体" w:cs="楷体"/>
          <w:sz w:val="32"/>
          <w:szCs w:val="32"/>
        </w:rPr>
        <w:t>（一）参加人员和项目设置</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参加人员：全省基础教育、中等职业教育和高等教育学校的教师。</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项目设置：本届大奖赛根据不同学段的教育教学要求和特点，按照基础教育、中等职业教育和高等教育（按照作品第一作者所在单位划分）三个组别设置项目。</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1.基础教育组：</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普通中小学：课件、信息技术创新教学案例、教育资源应用案例、教师网络空间应用案例。</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幼儿教育、特殊教育：课件、信息技术创新教学案例。</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2. 中等职业教育组：课件、微课、信息化教学课程案例、职业岗位核心能力线上精品课资源。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3. 高等教育组：课件、微课、信息化教学课程案例、职业岗位能力精品课。</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18" w:firstLineChars="200"/>
        <w:jc w:val="both"/>
        <w:textAlignment w:val="auto"/>
        <w:outlineLvl w:val="9"/>
        <w:rPr>
          <w:rFonts w:hint="eastAsia" w:ascii="楷体" w:hAnsi="楷体" w:eastAsia="楷体" w:cs="楷体"/>
          <w:sz w:val="32"/>
          <w:szCs w:val="32"/>
        </w:rPr>
      </w:pPr>
      <w:r>
        <w:rPr>
          <w:rFonts w:hint="eastAsia" w:ascii="楷体" w:hAnsi="楷体" w:eastAsia="楷体" w:cs="楷体"/>
          <w:sz w:val="32"/>
          <w:szCs w:val="32"/>
        </w:rPr>
        <w:t>（二）参赛办法及报送数量</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本次活动采用网络报送，网上评审的方式进行。参赛教师登录交流活动平台：http：//hbds.ppt.101.com，注册后提交作品。各市负责基础教育组作品的推荐，在逐级评选的基础上以市为单位推荐省级参赛作品不超过30件，辛集、定州、雄安新区不超过10件；中等职业学校以校为单位直接推荐省级参赛作品，每校推荐作品不超过5件；高等院校每校不超过20件。</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18" w:firstLineChars="200"/>
        <w:jc w:val="both"/>
        <w:textAlignment w:val="auto"/>
        <w:outlineLvl w:val="9"/>
        <w:rPr>
          <w:rFonts w:hint="eastAsia" w:ascii="楷体" w:hAnsi="楷体" w:eastAsia="楷体" w:cs="楷体"/>
          <w:sz w:val="32"/>
          <w:szCs w:val="32"/>
        </w:rPr>
      </w:pPr>
      <w:r>
        <w:rPr>
          <w:rFonts w:hint="eastAsia" w:ascii="楷体" w:hAnsi="楷体" w:eastAsia="楷体" w:cs="楷体"/>
          <w:sz w:val="32"/>
          <w:szCs w:val="32"/>
        </w:rPr>
        <w:t>（三）省级作品评选及推荐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省级作品评选：根据学段和项目评选出一等奖、二等奖和三等奖，授奖比例分别为参赛件数的：10%、20%和30%。获奖者将获得由省教育厅盖章的证书。</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基础教育组、中等职业教育组和高等教育组在省级评选的基础上择优统一推荐至中央电化教育馆参加全国教育教学信息化大奖赛。中央电化教育馆不单独接收我省教师个人报送参赛作品。</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18" w:firstLineChars="200"/>
        <w:jc w:val="both"/>
        <w:textAlignment w:val="auto"/>
        <w:outlineLvl w:val="9"/>
        <w:rPr>
          <w:rFonts w:hint="eastAsia" w:ascii="楷体" w:hAnsi="楷体" w:eastAsia="楷体" w:cs="楷体"/>
          <w:sz w:val="32"/>
          <w:szCs w:val="32"/>
        </w:rPr>
      </w:pPr>
      <w:r>
        <w:rPr>
          <w:rFonts w:hint="eastAsia" w:ascii="楷体" w:hAnsi="楷体" w:eastAsia="楷体" w:cs="楷体"/>
          <w:sz w:val="32"/>
          <w:szCs w:val="32"/>
        </w:rPr>
        <w:t>（四）参赛作品报送时间和要求</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1.报送时间：</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网上报送作品时间：2019年3月25日—6月30日，参赛教师登录平台上传作品。</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基础教育组县级作品评选时间：7月1日—15日。</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基础教育组市级、中等职业学校、高校作品评选时间：7月16日—30日。</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省级作品推荐时间：8月1日—8月15日，各单位在平台完成省级参赛作品的推荐。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省级作品评选时间：9月份。</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2.报送要求：</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参赛作品标准及要求按照中央电化教育馆《第二十三届全国教育教学信息化交流展示活动》指南办理。</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各组织单位活动负责人请加入qq群：202684686。</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18"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二、关于第十届“中国移动‘和教育’杯”全国教育技术论文活动具体要求</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18" w:firstLineChars="200"/>
        <w:jc w:val="both"/>
        <w:textAlignment w:val="auto"/>
        <w:outlineLvl w:val="9"/>
        <w:rPr>
          <w:rFonts w:hint="eastAsia" w:ascii="楷体" w:hAnsi="楷体" w:eastAsia="楷体" w:cs="楷体"/>
          <w:sz w:val="32"/>
          <w:szCs w:val="32"/>
        </w:rPr>
      </w:pPr>
      <w:r>
        <w:rPr>
          <w:rFonts w:hint="eastAsia" w:ascii="楷体" w:hAnsi="楷体" w:eastAsia="楷体" w:cs="楷体"/>
          <w:sz w:val="32"/>
          <w:szCs w:val="32"/>
        </w:rPr>
        <w:t>（一）参加对象</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全省各学科教师及各级各类教育信息化相关工作者。</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18" w:firstLineChars="200"/>
        <w:jc w:val="both"/>
        <w:textAlignment w:val="auto"/>
        <w:outlineLvl w:val="9"/>
        <w:rPr>
          <w:rFonts w:hint="eastAsia" w:ascii="楷体" w:hAnsi="楷体" w:eastAsia="楷体" w:cs="楷体"/>
          <w:sz w:val="32"/>
          <w:szCs w:val="32"/>
        </w:rPr>
      </w:pPr>
      <w:r>
        <w:rPr>
          <w:rFonts w:hint="eastAsia" w:ascii="楷体" w:hAnsi="楷体" w:eastAsia="楷体" w:cs="楷体"/>
          <w:sz w:val="32"/>
          <w:szCs w:val="32"/>
        </w:rPr>
        <w:t>（二）时间安排</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论文提交时间：3月15日-9月10日</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投票支持截止时间: 9月10日</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省级推荐时间: 9月10日-9月30日</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集中报送时间: 10月8日-10月9日</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全国遴选时间: 10月10日-10月25日</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现场交流活动：11月上旬</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18" w:firstLineChars="200"/>
        <w:jc w:val="both"/>
        <w:textAlignment w:val="auto"/>
        <w:outlineLvl w:val="9"/>
        <w:rPr>
          <w:rFonts w:hint="eastAsia" w:ascii="楷体" w:hAnsi="楷体" w:eastAsia="楷体" w:cs="楷体"/>
          <w:sz w:val="32"/>
          <w:szCs w:val="32"/>
        </w:rPr>
      </w:pPr>
      <w:r>
        <w:rPr>
          <w:rFonts w:hint="eastAsia" w:ascii="楷体" w:hAnsi="楷体" w:eastAsia="楷体" w:cs="楷体"/>
          <w:sz w:val="32"/>
          <w:szCs w:val="32"/>
        </w:rPr>
        <w:t>（三）评审方式及奖项设置</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评审方式：此次活动将组织全国评审、省级评审和市级评审。中央电教馆负责组织全国评审，省电教馆负责组织省级评审，各市负责组织市级评审。</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省论文活动组委会于10月中旬将各市论文电子版打包发送到各市电教馆，由各市电教馆负责组织本市论文评审。市级奖的评审标准、评审细则、获奖比例和奖项设置由各市自行决定。</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省级奖项设置：一等奖50名、二等奖100、三等奖150名。获奖者将获得由省教育厅盖章的证书。</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18" w:firstLineChars="200"/>
        <w:jc w:val="both"/>
        <w:textAlignment w:val="auto"/>
        <w:outlineLvl w:val="9"/>
        <w:rPr>
          <w:rFonts w:hint="eastAsia" w:ascii="楷体" w:hAnsi="楷体" w:eastAsia="楷体" w:cs="楷体"/>
          <w:sz w:val="32"/>
          <w:szCs w:val="32"/>
        </w:rPr>
      </w:pPr>
      <w:r>
        <w:rPr>
          <w:rFonts w:hint="eastAsia" w:ascii="楷体" w:hAnsi="楷体" w:eastAsia="楷体" w:cs="楷体"/>
          <w:sz w:val="32"/>
          <w:szCs w:val="32"/>
        </w:rPr>
        <w:t>（四）论文活动网站</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论文上传请登录“和飞信”官网：http：//feixin.10086.cn,点击下载页面，下载安装PC客户端，登录后在“工作台”界面选择“活动入口—参赛”进行论文提交。</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18"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三、其他事项</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1.以上两项活动均不收取任何参赛费用，每位教师每项活动限报一件作品。</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2.联系方式：</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信息化展示交流活动技术支持：陈皑铂  18611229968</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论文大赛技术支持： 李坤泽    13802880179</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活动咨询：王玉芹  杜文才</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联系电话：0311-66005855   66005856</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18" w:firstLineChars="200"/>
        <w:jc w:val="both"/>
        <w:textAlignment w:val="auto"/>
        <w:outlineLvl w:val="9"/>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附件：1.中央电化教育馆关于发布第二十三届全国教育教学</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信息化大奖赛和第十届“中国移动‘和教育’杯”</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全国教育技术论文活动指南的通知</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2.第二十三届全国教育教学信息化大奖赛指南</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3.教育教学信息化大奖赛组织单位及联系人信息表</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4.第十届“中国移动‘和教育’杯”全国教育技术论</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文活动指南</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(附件请登录河北省电化教育馆网站下载。网址：http://www.hebeijiaoyu.com)</w:t>
      </w:r>
    </w:p>
    <w:p>
      <w:pPr>
        <w:keepNext w:val="0"/>
        <w:keepLines w:val="0"/>
        <w:pageBreakBefore w:val="0"/>
        <w:widowControl w:val="0"/>
        <w:kinsoku/>
        <w:wordWrap/>
        <w:overflowPunct/>
        <w:topLinePunct w:val="0"/>
        <w:autoSpaceDE/>
        <w:autoSpaceDN/>
        <w:bidi w:val="0"/>
        <w:adjustRightInd/>
        <w:snapToGrid/>
        <w:spacing w:line="570" w:lineRule="exact"/>
        <w:ind w:left="0" w:leftChars="0"/>
        <w:textAlignment w:val="auto"/>
        <w:rPr>
          <w:rFonts w:hint="eastAsia" w:ascii="仿宋" w:hAnsi="仿宋" w:eastAsia="仿宋" w:cs="仿宋"/>
          <w:sz w:val="32"/>
          <w:szCs w:val="32"/>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70" w:lineRule="exact"/>
        <w:ind w:left="0" w:leftChars="0"/>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70" w:lineRule="exact"/>
        <w:ind w:left="0" w:leftChars="0"/>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70" w:lineRule="exact"/>
        <w:ind w:left="0" w:leftChars="0" w:right="1213" w:rightChars="610" w:firstLine="5231" w:firstLineChars="1693"/>
        <w:jc w:val="center"/>
        <w:textAlignment w:val="auto"/>
        <w:outlineLvl w:val="9"/>
        <w:rPr>
          <w:rFonts w:hint="eastAsia" w:ascii="仿宋" w:hAnsi="仿宋" w:eastAsia="仿宋" w:cs="仿宋"/>
          <w:sz w:val="32"/>
          <w:szCs w:val="32"/>
        </w:rPr>
      </w:pPr>
      <w:r>
        <w:rPr>
          <w:rFonts w:hint="eastAsia" w:ascii="仿宋" w:hAnsi="仿宋" w:eastAsia="仿宋" w:cs="仿宋"/>
          <w:sz w:val="32"/>
          <w:szCs w:val="32"/>
        </w:rPr>
        <w:t>河北省教育厅</w:t>
      </w:r>
    </w:p>
    <w:p>
      <w:pPr>
        <w:keepNext w:val="0"/>
        <w:keepLines w:val="0"/>
        <w:pageBreakBefore w:val="0"/>
        <w:widowControl w:val="0"/>
        <w:kinsoku/>
        <w:wordWrap/>
        <w:overflowPunct/>
        <w:topLinePunct w:val="0"/>
        <w:autoSpaceDE/>
        <w:autoSpaceDN/>
        <w:bidi w:val="0"/>
        <w:adjustRightInd/>
        <w:snapToGrid/>
        <w:spacing w:line="570" w:lineRule="exact"/>
        <w:ind w:left="0" w:leftChars="0" w:right="1213" w:rightChars="610" w:firstLine="0" w:firstLineChars="0"/>
        <w:jc w:val="right"/>
        <w:textAlignment w:val="auto"/>
        <w:outlineLvl w:val="9"/>
        <w:rPr>
          <w:rFonts w:hint="eastAsia" w:ascii="仿宋" w:hAnsi="仿宋" w:eastAsia="仿宋" w:cs="仿宋"/>
          <w:sz w:val="44"/>
          <w:szCs w:val="44"/>
        </w:rPr>
      </w:pPr>
      <w:r>
        <w:rPr>
          <w:rFonts w:hint="eastAsia" w:ascii="仿宋" w:hAnsi="仿宋" w:eastAsia="仿宋" w:cs="仿宋"/>
          <w:sz w:val="32"/>
          <w:szCs w:val="32"/>
        </w:rPr>
        <w:t>201</w:t>
      </w:r>
      <w:r>
        <w:rPr>
          <w:rFonts w:hint="eastAsia" w:ascii="仿宋" w:hAnsi="仿宋" w:eastAsia="仿宋" w:cs="仿宋"/>
          <w:sz w:val="32"/>
          <w:szCs w:val="32"/>
          <w:lang w:val="en-US" w:eastAsia="zh-CN"/>
        </w:rPr>
        <w:t>9</w:t>
      </w:r>
      <w:r>
        <w:rPr>
          <w:rFonts w:hint="eastAsia" w:ascii="仿宋" w:hAnsi="仿宋" w:eastAsia="仿宋" w:cs="仿宋"/>
          <w:sz w:val="32"/>
          <w:szCs w:val="32"/>
        </w:rPr>
        <w:t>年</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2</w:t>
      </w:r>
      <w:r>
        <w:rPr>
          <w:rFonts w:hint="eastAsia" w:ascii="仿宋" w:hAnsi="仿宋" w:eastAsia="仿宋" w:cs="仿宋"/>
          <w:sz w:val="32"/>
          <w:szCs w:val="32"/>
        </w:rPr>
        <w:t>日</w:t>
      </w:r>
    </w:p>
    <w:sectPr>
      <w:headerReference r:id="rId5" w:type="first"/>
      <w:footerReference r:id="rId8" w:type="first"/>
      <w:headerReference r:id="rId3" w:type="default"/>
      <w:footerReference r:id="rId6" w:type="default"/>
      <w:headerReference r:id="rId4" w:type="even"/>
      <w:footerReference r:id="rId7" w:type="even"/>
      <w:pgSz w:w="11906" w:h="16838"/>
      <w:pgMar w:top="2098" w:right="1587" w:bottom="1587" w:left="1587" w:header="851" w:footer="1191" w:gutter="0"/>
      <w:pgNumType w:fmt="numberInDash" w:start="1"/>
      <w:cols w:space="720" w:num="1"/>
      <w:titlePg/>
      <w:rtlGutter w:val="0"/>
      <w:docGrid w:type="linesAndChars" w:linePitch="579" w:charSpace="-236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outside" w:y="1"/>
      <w:rPr>
        <w:rStyle w:val="10"/>
        <w:rFonts w:ascii="宋体" w:hAnsi="宋体"/>
        <w:sz w:val="28"/>
        <w:szCs w:val="28"/>
      </w:rPr>
    </w:pPr>
    <w:r>
      <w:rPr>
        <w:rFonts w:ascii="宋体" w:hAnsi="宋体"/>
        <w:sz w:val="28"/>
        <w:szCs w:val="28"/>
      </w:rPr>
      <w:fldChar w:fldCharType="begin"/>
    </w:r>
    <w:r>
      <w:rPr>
        <w:rStyle w:val="10"/>
        <w:rFonts w:ascii="宋体" w:hAnsi="宋体"/>
        <w:sz w:val="28"/>
        <w:szCs w:val="28"/>
      </w:rPr>
      <w:instrText xml:space="preserve">PAGE  </w:instrText>
    </w:r>
    <w:r>
      <w:rPr>
        <w:rFonts w:ascii="宋体" w:hAnsi="宋体"/>
        <w:sz w:val="28"/>
        <w:szCs w:val="28"/>
      </w:rPr>
      <w:fldChar w:fldCharType="separate"/>
    </w:r>
    <w:r>
      <w:rPr>
        <w:rStyle w:val="10"/>
        <w:rFonts w:ascii="宋体" w:hAnsi="宋体"/>
        <w:sz w:val="28"/>
        <w:szCs w:val="28"/>
      </w:rPr>
      <w:t>- 2 -</w:t>
    </w:r>
    <w:r>
      <w:rPr>
        <w:rFonts w:ascii="宋体" w:hAnsi="宋体"/>
        <w:sz w:val="28"/>
        <w:szCs w:val="28"/>
      </w:rPr>
      <w:fldChar w:fldCharType="end"/>
    </w:r>
  </w:p>
  <w:p>
    <w:pPr>
      <w:pStyle w:val="6"/>
      <w:framePr w:wrap="around" w:vAnchor="text" w:hAnchor="page" w:x="8969" w:y="-23"/>
      <w:ind w:right="360" w:firstLine="360"/>
      <w:rPr>
        <w:rStyle w:val="10"/>
        <w:rFonts w:hint="eastAsia" w:ascii="宋体" w:hAnsi="宋体"/>
        <w:sz w:val="28"/>
        <w:szCs w:val="28"/>
      </w:rPr>
    </w:pPr>
  </w:p>
  <w:p>
    <w:pPr>
      <w:pStyle w:val="6"/>
      <w:ind w:right="360" w:firstLine="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outside" w:y="1"/>
      <w:rPr>
        <w:rStyle w:val="10"/>
      </w:rPr>
    </w:pPr>
    <w:r>
      <w:fldChar w:fldCharType="begin"/>
    </w:r>
    <w:r>
      <w:rPr>
        <w:rStyle w:val="10"/>
      </w:rPr>
      <w:instrText xml:space="preserve">PAGE  </w:instrText>
    </w:r>
    <w:r>
      <w:fldChar w:fldCharType="end"/>
    </w:r>
  </w:p>
  <w:p>
    <w:pPr>
      <w:pStyle w:val="6"/>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hyphenationZone w:val="360"/>
  <w:drawingGridHorizontalSpacing w:val="99"/>
  <w:drawingGridVerticalSpacing w:val="290"/>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5C69A2"/>
    <w:rsid w:val="00002B85"/>
    <w:rsid w:val="000150A2"/>
    <w:rsid w:val="00034FF7"/>
    <w:rsid w:val="000417DC"/>
    <w:rsid w:val="00091F91"/>
    <w:rsid w:val="000B4A51"/>
    <w:rsid w:val="000C10CE"/>
    <w:rsid w:val="000F14D5"/>
    <w:rsid w:val="001547BC"/>
    <w:rsid w:val="00155E64"/>
    <w:rsid w:val="00175CA4"/>
    <w:rsid w:val="001973A8"/>
    <w:rsid w:val="00214F07"/>
    <w:rsid w:val="00264F7F"/>
    <w:rsid w:val="0028416E"/>
    <w:rsid w:val="002C5B90"/>
    <w:rsid w:val="00303C86"/>
    <w:rsid w:val="003268FB"/>
    <w:rsid w:val="003C157E"/>
    <w:rsid w:val="00417D8B"/>
    <w:rsid w:val="004476F4"/>
    <w:rsid w:val="00477026"/>
    <w:rsid w:val="004C5AAF"/>
    <w:rsid w:val="004F1C68"/>
    <w:rsid w:val="0050059C"/>
    <w:rsid w:val="005964A2"/>
    <w:rsid w:val="005A601B"/>
    <w:rsid w:val="005C3559"/>
    <w:rsid w:val="005C38E8"/>
    <w:rsid w:val="005C6D90"/>
    <w:rsid w:val="005C6DAF"/>
    <w:rsid w:val="005D122D"/>
    <w:rsid w:val="005F2155"/>
    <w:rsid w:val="00607AD8"/>
    <w:rsid w:val="00632FB2"/>
    <w:rsid w:val="00641EDB"/>
    <w:rsid w:val="00652065"/>
    <w:rsid w:val="00661102"/>
    <w:rsid w:val="00677BC6"/>
    <w:rsid w:val="00680039"/>
    <w:rsid w:val="0069413F"/>
    <w:rsid w:val="006F5A74"/>
    <w:rsid w:val="00735E08"/>
    <w:rsid w:val="0074363E"/>
    <w:rsid w:val="007558AF"/>
    <w:rsid w:val="007C1D33"/>
    <w:rsid w:val="007D5F21"/>
    <w:rsid w:val="007E452B"/>
    <w:rsid w:val="0082043B"/>
    <w:rsid w:val="00837964"/>
    <w:rsid w:val="00852595"/>
    <w:rsid w:val="00883A3B"/>
    <w:rsid w:val="008A1661"/>
    <w:rsid w:val="008F38B8"/>
    <w:rsid w:val="009026E1"/>
    <w:rsid w:val="0090646C"/>
    <w:rsid w:val="00984AB6"/>
    <w:rsid w:val="00996A7E"/>
    <w:rsid w:val="009F1AFC"/>
    <w:rsid w:val="009F3467"/>
    <w:rsid w:val="00A065D1"/>
    <w:rsid w:val="00A178D0"/>
    <w:rsid w:val="00AE7EC0"/>
    <w:rsid w:val="00AF4A54"/>
    <w:rsid w:val="00B00D32"/>
    <w:rsid w:val="00B00EBA"/>
    <w:rsid w:val="00B10406"/>
    <w:rsid w:val="00B459CA"/>
    <w:rsid w:val="00B56C88"/>
    <w:rsid w:val="00B96FF5"/>
    <w:rsid w:val="00BA1E35"/>
    <w:rsid w:val="00BC0B7A"/>
    <w:rsid w:val="00C46922"/>
    <w:rsid w:val="00C538F1"/>
    <w:rsid w:val="00CA0CF8"/>
    <w:rsid w:val="00CA128E"/>
    <w:rsid w:val="00CF6B6E"/>
    <w:rsid w:val="00CF7CA9"/>
    <w:rsid w:val="00D01318"/>
    <w:rsid w:val="00D0268A"/>
    <w:rsid w:val="00D02B10"/>
    <w:rsid w:val="00D10388"/>
    <w:rsid w:val="00D14369"/>
    <w:rsid w:val="00D40F1F"/>
    <w:rsid w:val="00D43932"/>
    <w:rsid w:val="00D54B44"/>
    <w:rsid w:val="00D77089"/>
    <w:rsid w:val="00DB077B"/>
    <w:rsid w:val="00DB79A2"/>
    <w:rsid w:val="00DC22F0"/>
    <w:rsid w:val="00DC5184"/>
    <w:rsid w:val="00DD4F0E"/>
    <w:rsid w:val="00DE0865"/>
    <w:rsid w:val="00DE3F74"/>
    <w:rsid w:val="00DF5086"/>
    <w:rsid w:val="00E039CA"/>
    <w:rsid w:val="00E468C6"/>
    <w:rsid w:val="00E4778B"/>
    <w:rsid w:val="00E80A94"/>
    <w:rsid w:val="00EC0501"/>
    <w:rsid w:val="00EE5FC8"/>
    <w:rsid w:val="00F34A1A"/>
    <w:rsid w:val="00F452F0"/>
    <w:rsid w:val="00F65DE6"/>
    <w:rsid w:val="00F7087E"/>
    <w:rsid w:val="00F75D57"/>
    <w:rsid w:val="00F90E03"/>
    <w:rsid w:val="01E00FF2"/>
    <w:rsid w:val="035709AA"/>
    <w:rsid w:val="10033ECD"/>
    <w:rsid w:val="165A69B5"/>
    <w:rsid w:val="168F41BD"/>
    <w:rsid w:val="25C16D06"/>
    <w:rsid w:val="2A264723"/>
    <w:rsid w:val="2AF25BA5"/>
    <w:rsid w:val="327C1FDF"/>
    <w:rsid w:val="34813987"/>
    <w:rsid w:val="37BC6A3F"/>
    <w:rsid w:val="3EA5712E"/>
    <w:rsid w:val="46AA5E3A"/>
    <w:rsid w:val="480E6C16"/>
    <w:rsid w:val="4BED2240"/>
    <w:rsid w:val="51B36838"/>
    <w:rsid w:val="5A3E31CB"/>
    <w:rsid w:val="5A724690"/>
    <w:rsid w:val="655C69A2"/>
    <w:rsid w:val="68027BB9"/>
    <w:rsid w:val="69D35B7A"/>
    <w:rsid w:val="6C601CD3"/>
    <w:rsid w:val="6F37208F"/>
    <w:rsid w:val="730F731E"/>
    <w:rsid w:val="7E282B5E"/>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semiHidden/>
    <w:uiPriority w:val="0"/>
  </w:style>
  <w:style w:type="table" w:default="1" w:styleId="11">
    <w:name w:val="Normal Table"/>
    <w:semiHidden/>
    <w:qFormat/>
    <w:uiPriority w:val="0"/>
    <w:tblPr>
      <w:tblStyle w:val="11"/>
      <w:tblLayout w:type="fixed"/>
      <w:tblCellMar>
        <w:top w:w="0" w:type="dxa"/>
        <w:left w:w="108" w:type="dxa"/>
        <w:bottom w:w="0" w:type="dxa"/>
        <w:right w:w="108" w:type="dxa"/>
      </w:tblCellMar>
    </w:tblPr>
    <w:tcPr>
      <w:textDirection w:val="lrTb"/>
    </w:tcPr>
  </w:style>
  <w:style w:type="paragraph" w:styleId="2">
    <w:name w:val="Body Text"/>
    <w:basedOn w:val="1"/>
    <w:qFormat/>
    <w:uiPriority w:val="0"/>
    <w:rPr>
      <w:rFonts w:ascii="仿宋_GB2312" w:eastAsia="仿宋_GB2312"/>
      <w:sz w:val="32"/>
      <w:szCs w:val="24"/>
    </w:rPr>
  </w:style>
  <w:style w:type="paragraph" w:styleId="3">
    <w:name w:val="Body Text Indent"/>
    <w:basedOn w:val="1"/>
    <w:qFormat/>
    <w:uiPriority w:val="0"/>
    <w:pPr>
      <w:ind w:firstLine="640" w:firstLineChars="200"/>
    </w:pPr>
    <w:rPr>
      <w:rFonts w:ascii="仿宋_GB2312" w:eastAsia="仿宋_GB2312"/>
      <w:sz w:val="32"/>
    </w:rPr>
  </w:style>
  <w:style w:type="paragraph" w:styleId="4">
    <w:name w:val="Date"/>
    <w:basedOn w:val="1"/>
    <w:next w:val="1"/>
    <w:qFormat/>
    <w:uiPriority w:val="0"/>
    <w:pPr>
      <w:ind w:left="100" w:leftChars="2500"/>
    </w:pPr>
  </w:style>
  <w:style w:type="paragraph" w:styleId="5">
    <w:name w:val="Balloon Text"/>
    <w:basedOn w:val="1"/>
    <w:semiHidden/>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qFormat/>
    <w:uiPriority w:val="0"/>
    <w:pPr>
      <w:adjustRightInd w:val="0"/>
      <w:spacing w:line="360" w:lineRule="auto"/>
      <w:ind w:firstLine="630"/>
    </w:pPr>
    <w:rPr>
      <w:rFonts w:ascii="仿宋_GB2312" w:hAnsi="宋体" w:eastAsia="仿宋_GB2312"/>
      <w:b/>
      <w:bCs/>
      <w:sz w:val="32"/>
      <w:szCs w:val="30"/>
    </w:rPr>
  </w:style>
  <w:style w:type="character" w:styleId="10">
    <w:name w:val="page number"/>
    <w:basedOn w:val="9"/>
    <w:qFormat/>
    <w:uiPriority w:val="0"/>
  </w:style>
  <w:style w:type="paragraph" w:customStyle="1" w:styleId="12">
    <w:name w:val="List Paragraph"/>
    <w:basedOn w:val="1"/>
    <w:qFormat/>
    <w:uiPriority w:val="0"/>
    <w:pPr>
      <w:widowControl/>
      <w:spacing w:line="560" w:lineRule="exact"/>
      <w:ind w:firstLine="420" w:firstLineChars="200"/>
    </w:pPr>
    <w:rPr>
      <w:rFonts w:ascii="仿宋" w:hAnsi="仿宋" w:eastAsia="仿宋"/>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kingsoft\office6\templates\wps\zh_CN\&#20449;&#20989;&#25991;&#20214;.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信函文件.wpt</Template>
  <Pages>1</Pages>
  <Words>155</Words>
  <Characters>171</Characters>
  <Lines>5</Lines>
  <Paragraphs>1</Paragraphs>
  <ScaleCrop>false</ScaleCrop>
  <LinksUpToDate>false</LinksUpToDate>
  <CharactersWithSpaces>171</CharactersWithSpaces>
  <Application>WPS Office_10.8.0.5761_F1E327BC-269C-435d-A152-05C5408002CA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2019-04-03T07:43:00Z</dcterms:created>
  <dc:creator>admin</dc:creator>
  <cp:lastModifiedBy>admin</cp:lastModifiedBy>
  <cp:lastPrinted>2019-04-03T07:48:51Z</cp:lastPrinted>
  <dcterms:modified xsi:type="dcterms:W3CDTF">2019-04-03T07:58:09Z</dcterms:modified>
  <dc:title>关于召开第十五次全省高校党建</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2052-10.8.0.5761</vt:lpwstr>
  </property>
</Properties>
</file>